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A8" w:rsidRPr="00D546A8" w:rsidRDefault="00D546A8" w:rsidP="00D546A8">
      <w:pPr>
        <w:pBdr>
          <w:bottom w:val="single" w:sz="6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vanish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vanish/>
          <w:szCs w:val="24"/>
          <w:lang w:eastAsia="pl-PL"/>
        </w:rPr>
        <w:t>Początek formularza</w:t>
      </w:r>
    </w:p>
    <w:p w:rsid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Ogłoszenie nr 625684-N-2019 z dnia 2019-11-21 r.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46A8" w:rsidRDefault="00D546A8" w:rsidP="00D546A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Urząd Miejski w Jedwabnem: „Odbiór i zagospodarowanie odpadów komunalnych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 właścicieli nieruchomości zamieszkałych w Gminie Jedwabne”</w:t>
      </w:r>
    </w:p>
    <w:p w:rsidR="00D546A8" w:rsidRDefault="00D546A8" w:rsidP="00D546A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 xml:space="preserve">OGŁOSZENIE O ZAMÓWIENIU - Usługi </w:t>
      </w:r>
    </w:p>
    <w:p w:rsidR="00D546A8" w:rsidRPr="00D546A8" w:rsidRDefault="00D546A8" w:rsidP="00D546A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Zamieszczanie ogłoszenia: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Zamieszczanie obowiązkowe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dotyczy: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Zamówienia publicznego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awców albo ich jednostki (w %) </w:t>
      </w:r>
    </w:p>
    <w:p w:rsid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SEKCJA I: ZAMAWIAJĄCY</w:t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ów wraz z danymi do kontaktów: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dodatkowe: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 1) NAZWA I ADRES: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Urząd Miejski w Jedwabnem, krajowy numer identyfikacyjny 00052737400000, ul. ul. Żwirki i Wigury  3 , 18-420  Jedwabne, woj. podlaskie, państwo Polska, tel. 86 2172130, e-mail urzad@jedwabne.pl, faks .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strony internetowej (URL): www.jedwabne.pl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profilu nabywcy: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Administracja samorządowa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D546A8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(jeżeli dotyczy)</w:t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cz pozostałych zamawiających):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 xml:space="preserve">I.4) KOMUNIKACJA: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Tak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www.jedwabne.powiatlomzynski.pl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Elektronicznie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Inny sposób: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Inny sposób: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formie pisemnej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Urząd Miejski w Jedwabnem, ul. Żwirki i Wigury 3, 18-420 Jedwabne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SEKCJA II: PRZEDMIOT ZAMÓWIENIA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„Odbiór i zagospodarowanie odpadów komunalnych od właścicieli nieruchomości zamieszkałych w Gminie Jedwabne”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Numer referencyjny: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BIOŚ.271.9.2019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II.2) Rodzaj zamówienia: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Usługi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Zamówienie podzielone jest na części: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D546A8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Przedmiotem zamówienia jest odbieranie i zagospodarowanie odpadów komunalnych (zmieszanych odpadów komunalnych w tym odpadów niebezpiecznych oraz odpadów komunalnych zbieranych selektywnie) zgodnie z zapisami regulaminu utrzymania porządku i czystości w gm. Jedwabne, Wojewódzkiego Planu Gospodarki Odpadami Komunalnymi dla Województwa Podlaskiego zwanym dalej WPGO, ustawą z dnia 13 września 1996 r. o utrzymaniu porządku i czystości w gminach (tekst jednolity: Dz. U. z 2018 poz. 1454 z późn. zm.), (zwaną dalej </w:t>
      </w:r>
      <w:proofErr w:type="spellStart"/>
      <w:r w:rsidRPr="00D546A8">
        <w:rPr>
          <w:rFonts w:ascii="Times New Roman" w:eastAsia="Times New Roman" w:hAnsi="Times New Roman" w:cs="Times New Roman"/>
          <w:szCs w:val="24"/>
          <w:lang w:eastAsia="pl-PL"/>
        </w:rPr>
        <w:t>u.u.c.p.g</w:t>
      </w:r>
      <w:proofErr w:type="spellEnd"/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.)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oraz ustawą z dn. 14 grudnia 2012 r. o odpadach (Dz.U. z 2019 r. poz. 701 z późn. zm.) (w szacunkowej ilości ok. 1360,00 Mg rocznie) od właścicieli nieruchomości zamieszkałych w Gminie Jedwabne oraz wyposażenie i obsługa Punktu Selektywnej Zbiórki Odpadów Komunalnych zw. dalej PSZOK w miejscu wskazanym przez zamawiającego. Wykaz adresów tych nieruchomości, z których będą odbierane odpady zostanie przez Gminę Jedwabne przekazany Wykonawcy, któremu zostanie udzielone zamówienie, najpóźniej w ciągu 7 dni roboczych po podpisaniu umowy. Liczba gospodarstw domowych, z których będą odbierane odpady komunalne może ulegać zmianom w trakcie realizacji zamówienia. Zamawiający podczas realizacji zamówienia będzie przekazywał Wykonawcy informacje niezbędne do prawidłowego wykonywania umowy, w szczególności dotyczące zmian w liczbie i lokalizacji gospodarstw domowych objętych obowiązkiem odbierania odpadów a także sposobu gospodarowania odpadami przez mieszkańców. Obowiązkiem Wykonawcy będzie realizacja zamówienia z uwzględnieniem powyższych zmian w ramach zaoferowanej kwoty wykonania zamówienia. Wykonanie Przedmiotu zamówienia powinno zapewnić osiągnięcie odpowiednich poziomów recyklingu, przygotowania do ponownego użycia i odzysku innymi metodami oraz ograniczenie masy odpadów komunalnych ulegających biodegradacji przekazywanych do składowania, zgodnie z zapisami </w:t>
      </w:r>
      <w:proofErr w:type="spellStart"/>
      <w:r w:rsidRPr="00D546A8">
        <w:rPr>
          <w:rFonts w:ascii="Times New Roman" w:eastAsia="Times New Roman" w:hAnsi="Times New Roman" w:cs="Times New Roman"/>
          <w:szCs w:val="24"/>
          <w:lang w:eastAsia="pl-PL"/>
        </w:rPr>
        <w:t>u.u.c.p.g</w:t>
      </w:r>
      <w:proofErr w:type="spellEnd"/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., zapisami WPGO oraz ustawą o odpadach. Szczegółowy zakres przedmiotu zamówienia opisuje rozdział IV Specyfikacji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Istotnych Warunków Zamówienia.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II.5) Główny kod CPV: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90500000-2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Dodatkowe kody CPV: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D546A8" w:rsidRPr="00D546A8" w:rsidTr="00D5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Kod CPV</w:t>
            </w:r>
          </w:p>
        </w:tc>
      </w:tr>
      <w:tr w:rsidR="00D546A8" w:rsidRPr="00D546A8" w:rsidTr="00D5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90512000-9</w:t>
            </w:r>
          </w:p>
        </w:tc>
      </w:tr>
      <w:tr w:rsidR="00D546A8" w:rsidRPr="00D546A8" w:rsidTr="00D5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90533000-2</w:t>
            </w:r>
          </w:p>
        </w:tc>
      </w:tr>
      <w:tr w:rsidR="00D546A8" w:rsidRPr="00D546A8" w:rsidTr="00D5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90511000-2</w:t>
            </w:r>
          </w:p>
        </w:tc>
      </w:tr>
      <w:tr w:rsidR="00D546A8" w:rsidRPr="00D546A8" w:rsidTr="00D5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90513100-7</w:t>
            </w:r>
          </w:p>
        </w:tc>
      </w:tr>
    </w:tbl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D546A8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Wartość bez VAT: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Waluta: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miesiącach:   </w:t>
      </w:r>
      <w:r w:rsidRPr="00D546A8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lub </w:t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dniach: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lub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data rozpoczęcia: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D546A8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lub </w:t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zakończenia: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2020-12-31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II.9) Informacje dodatkowe: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>Zgodnie z rozdziałem IV: 1) Stosownie do art. 29 ust. 3a ustawy Pzp, Zamawiający wymaga zatrudnienia przez wykonawcę lub podwykonawcę na podstawie umowy o pracę osób wykonujących wskazane przez zamawiającego czynności w zakresie realizacji przedmiotu zamówienia, jeżeli wykonanie tych czynności polega na wykonaniu pracy w sposób określony w art. 22 § 1 ustawy z dnia 26 czerwca 1974 r. – Kodeks pracy (</w:t>
      </w:r>
      <w:proofErr w:type="spellStart"/>
      <w:r w:rsidRPr="00D546A8">
        <w:rPr>
          <w:rFonts w:ascii="Times New Roman" w:eastAsia="Times New Roman" w:hAnsi="Times New Roman" w:cs="Times New Roman"/>
          <w:szCs w:val="24"/>
          <w:lang w:eastAsia="pl-PL"/>
        </w:rPr>
        <w:t>t.j</w:t>
      </w:r>
      <w:proofErr w:type="spellEnd"/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. Dz. U z 2019 r., poz. 1040 z późn. zm.). 2) Powyższy obowiązek dotyczy osób wyznaczonych przez wykonawcę lub podwykonawcę </w:t>
      </w:r>
      <w:proofErr w:type="spellStart"/>
      <w:r w:rsidRPr="00D546A8">
        <w:rPr>
          <w:rFonts w:ascii="Times New Roman" w:eastAsia="Times New Roman" w:hAnsi="Times New Roman" w:cs="Times New Roman"/>
          <w:szCs w:val="24"/>
          <w:lang w:eastAsia="pl-PL"/>
        </w:rPr>
        <w:t>t.j</w:t>
      </w:r>
      <w:proofErr w:type="spellEnd"/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. wyznaczonych pracowników fizycznych wykonujących usługę odbierania, załadunku, transportu odpadów komunalnych, obsługujących pojazdy przeznaczone do odbioru, załadunku, transportu odpadów komunalnych, m.in. kierowców tych pojazdów, oraz pracowników umysłowych uczestniczących w realizacji niniejszego zamówienia (obsługa biura) na okres trwania umowy tj. od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01.01.2020 do dn. 31.12.2020. 3) W trakcie realizacji zamówienia zamawiający uprawniony jest do wykonywania czynności kontrolnych wobec wykonawcy odnośnie spełniania przez wykonawcę lub podwykonawcę wymogu zatrudnienia na podstawie umowy o pracę osób wykonujących wskazane w pkt. 7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4) W trakcie realizacji zamówienia na każde wezwanie zamawiającego, w wyznaczonym w tym wezwaniu terminie nie krótszym, niż 3 dni robocze, wykonawca przedłoży zamawiającemu wskazane poniżej dowody w celu potwierdzenia spełnienia wymogu zatrudnienia na podstawie umowy o pracę przez wykonawcę lub podwykonawcę osób wykonujących wskazane w rozdz. IV pkt. 12, </w:t>
      </w:r>
      <w:proofErr w:type="spellStart"/>
      <w:r w:rsidRPr="00D546A8">
        <w:rPr>
          <w:rFonts w:ascii="Times New Roman" w:eastAsia="Times New Roman" w:hAnsi="Times New Roman" w:cs="Times New Roman"/>
          <w:szCs w:val="24"/>
          <w:lang w:eastAsia="pl-PL"/>
        </w:rPr>
        <w:t>ppkt</w:t>
      </w:r>
      <w:proofErr w:type="spellEnd"/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. 1), 2) SIWZ czynności w trakcie realizacji zamówienia: oświadczenie wykonawcy lub podwykonawcy o zatrudnieniu na podstawie umowy o pracę osób wykonujących czynności, których dotyczy wezwanie zamawiającego.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5) Z tytułu niespełnienia przez wykonawcę lub podwykonawcę wymogu zatrudnienia na podstawie umowy o pracę osób wykonujących wskazane czynności zamawiający za każdy stwierdzony przypadek przewiduje sankcję w postaci obowiązku zapłaty przez wykonawcę kary umownej w wysokości określonej w projekcie umowy.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wskazane w pkt. w rozdz. IV pkt. 12, </w:t>
      </w:r>
      <w:proofErr w:type="spellStart"/>
      <w:r w:rsidRPr="00D546A8">
        <w:rPr>
          <w:rFonts w:ascii="Times New Roman" w:eastAsia="Times New Roman" w:hAnsi="Times New Roman" w:cs="Times New Roman"/>
          <w:szCs w:val="24"/>
          <w:lang w:eastAsia="pl-PL"/>
        </w:rPr>
        <w:t>ppkt</w:t>
      </w:r>
      <w:proofErr w:type="spellEnd"/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. 1), 2) SIWZ czynności. 6) W przypadku stwierdzenia przez zamawiającego naruszenia przez wykonawcę lub podwykonawcę wymogu zatrudnienia na podstawie umowy o pracę osób wykonujących wskazane w rozdz. IV pkt. 12, </w:t>
      </w:r>
      <w:proofErr w:type="spellStart"/>
      <w:r w:rsidRPr="00D546A8">
        <w:rPr>
          <w:rFonts w:ascii="Times New Roman" w:eastAsia="Times New Roman" w:hAnsi="Times New Roman" w:cs="Times New Roman"/>
          <w:szCs w:val="24"/>
          <w:lang w:eastAsia="pl-PL"/>
        </w:rPr>
        <w:t>ppkt</w:t>
      </w:r>
      <w:proofErr w:type="spellEnd"/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. 1), 2) SIWZ czynności, niezależnie od sankcji przewidzianych w rozdz. IV pkt. 12, </w:t>
      </w:r>
      <w:proofErr w:type="spellStart"/>
      <w:r w:rsidRPr="00D546A8">
        <w:rPr>
          <w:rFonts w:ascii="Times New Roman" w:eastAsia="Times New Roman" w:hAnsi="Times New Roman" w:cs="Times New Roman"/>
          <w:szCs w:val="24"/>
          <w:lang w:eastAsia="pl-PL"/>
        </w:rPr>
        <w:t>ppkt</w:t>
      </w:r>
      <w:proofErr w:type="spellEnd"/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. 5) SIWZ, wykonawca w terminie nie dłuższym niż 5 dni roboczych dokona czynności naprawczych oraz bez ponownego wzywania złoży żądane przez zamawiającego dowody w celu potwierdzenia spełnienia przez wykonawcę lub podwykonawcę wymogu zatrudnienia na podstawie umowy o pracę. 7) Za każdy stwierdzony przypadek niespełnienia wymogów, o których mowa, zamawiający przewiduje sankcję w postaci obowiązku zapłaty przez wykonawcę kary umownej w wysokości określonej w projekcie umowy oraz może zawiesić wykonanie tej części robót z winy wykonawcy do chwili spełnienia stawianych wymogów. 8) W przypadku uzasadnionych wątpliwości co do przestrzegania prawa pracy przez wykonawcę lub podwykonawcę, zamawiający może zwrócić się o przeprowadzenie kontroli przez Państwową Inspekcję Pracy. 9) Zgodnie z art. 36a ust. 2 ustawy PZP Zamawiający zastrzega sobie obowiązek osobistego wykonania przez wykonawcę kluczowej części zamówienia – odbiór i zagospodarowanie odpadów od właścicieli nieruchomości zamieszkałych, jako działalności, której wykonanie wymaga spełnienia szczególnych warunków, określonych przepisami prawa oraz podlegającej szczególnej kontroli. </w:t>
      </w:r>
    </w:p>
    <w:p w:rsid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warunków: Zamawiający uzna warunek za spełniony, jeżeli Wykonawca wykaże, że 1) Posiada aktualne zezwolenie na zbieranie i transportowanie odpadów wydane przez właściwy organ zgodnie z ustawą z dnia 14 grudnia 2012 r. o odpadach, 2) Posiada wpis do rejestru działalności regulowanej w zakresie odbierania odpadów komunalnych od właścicieli nieruchomości z terenu Gminy Jedwabne prowadzonego przez Burmistrza Jedwabnego, zgodnie z wymogami ustawy z dnia 13 września 1996 roku o utrzymaniu czystości i porządku w gminach. (Warunek ten zostanie uznany za spełniony, jeśli wykonawca przedstawi kopię wpisu do rejestru oraz zezwolenia na transport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odpadów wynikający z ustawy o odpadach).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warunków: Zamawiający nie określa szczegółowych wymagań co do potwierdzania spełniania tego warunku.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warunków: Zamawiający uzna warunek za spełniony, jeżeli Wykonawca wykaże, że: 1) W zakresie dotyczącym wiedzy i doświadczenia, wykażą, że w okresie ostatnich trzech lat przed upływem terminu składania ofert, a jeżeli okres prowadzenia działalności jest krótszy, w tym okresie należycie wykonali lub wykonują usługi: w zakresie odbierania i zagospodarowania odpadów komunalnych z nieruchomości zabudowanych budynkami jednorodzinnymi oraz od osób zamieszkałych w zabudowie wielorodzinnej w ilości nie mniejszej niż 1000 Mg w nieprzerwalnym okresie co najmniej roku - nieprzerwanie (masa odebranych odpadów może być łączna z dwóch, trzech gmin). Wykonawca potwierdzi należyte wykonanie wykazanych usług poprzez złożenie np. referencji, protokołów odbioru, kart przekazania odpadów, sprawozdań itp.- z podaniem ilości odebranych i zagospodarowanych odpadów, dat wykonania i odbiorców. 2) Na potwierdzenie posiadanego potencjału technicznego zamawiający wymaga wykazania, że wykonawca dysponuje co najmniej następującym potencjałem technicznym: - co najmniej 2 samochody specjalistyczne – bezpylne do selektywnego zbierania odpadów komunalnych, - co najmniej 2 samochody specjalistyczne – bezpylne do zbierania zmieszanych odpadów komunalnych, - co najmniej 1 pojazd do odbierania odpadów bez funkcji kompaktującej, - bazą magazynowo – transportową usytuowaną na terenie Gminy Jedwabne, lub w odległości nie większej niż 60 km od jej granicy. 3) Wykonawca powinien dysponować osobami posiadającymi kwalifikacje zawodowe, doświadczenie niezbędne do wykonania zamówienia: - min. 2 osobami, z których każda posiada aktualne uprawnienia do kierowania pojazdami ciężarowymi specjalnymi o dopuszczalnej masie całkowitej powyżej 3,5 tony i co najmniej 2 letnie doświadczenie na stanowisku kierowcy, - min. 2 osoby zatrudnionych na umowę o pracę , które będą bezpośrednio realizować prace związane z odbiorem i zagospodarowaniem odpadów komunalnych.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III.2.1) Podstawy wykluczenia określone w art. 24 ust. 1 ustawy Pzp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III.2.2) Zamawiający przewiduje wykluczenie wykonawcy na podstawie art. 24 ust. 5 ustawy Pzp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ust. 5 pkt 1 ustawy Pzp)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do wykluczenia w oparciu o art. 24 ust. 5 pkt 1 ustawy Pzp, 2) Dokumenty dotyczące podmiotów trzecich, w celu wykazania braku istnienia wobec nich podstaw wykluczenia o których mowa w rozdziale IX SIWZ – jeżeli wykonawca polega na zdolnościach lub sytuacji innych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podmiotów na zasadach określonych w art. 22a ustawy Pzp. 3) Jeżeli wykonawca ma siedzibę lub miejsce zamieszkania poza terytorium Rzeczypospolitej Polskiej, zamiast dokumentów, o których mowa w rozdziale IX SIWZ składa dokument lub dokumenty, wystawione w kraju w którym ma siedzibę lub miejsce zamieszkania potwierdzające odpowiednio, że nie otwarto jego likwidacji ani nie ogłoszono upadłości, wystawione nie wcześniej niż 6 miesięcy przed upływem terminu składania ofert. 4) Jeżeli w miejscu zamieszkania osoby lub w kraju, w którym wykonawca ma siedzibę lub miejsce zamieszkania, nie wydaje się w/w dokumentów,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– wystawione z odpowiednią datą wymaganą dla tych dokumentów. 5) W przypadku oferty składanej przez wykonawców wspólnie ubiegających się o udzielenie zamówienia publicznego, dokumenty potwierdzające, że wykonawca nie podlega wykluczeniu składa każdy z wykonawców oddzielnie. 6) Wykonawca (dot. wszystkich wykonawców którzy złożyli oferty), w terminie 3 dni od dnia zamieszczenia na stronie internetowej informacji z otwarcia ofert,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oświadczenia stanowi załącznik nr 5 do SIWZ.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1) Kopia aktualnego wpisu do rejestru działalności regulowanej w zakresie odbierania odpadów komunalnych od właścicieli nieruchomości z terenu Gminy Jedwabne, zgodnie z wymogami ustawy z dnia 13 września 1996 r. o utrzymaniu czystości i porządku w gminach, 2) Zezwolenie na transport i zbieranie odpadów wynikający z ustawy o odpadach, 3) Wykaz narzędzi wyposażenia zakładu lub urządzeń technicznych dostępnych dla wykonawcy w celu wykonania zamówienia publicznego wraz z informacją o podstawie do dysponowania tymi zasobami, sporządzony zgodnie z załącznikiem nr 6 do SIWZ. 4) Wykaz potwierdzającego posiadanie wiedzy i doświadczenia, tj.: wykaz, że w okresie ostatnich 3 lat przed upływem terminu składania ofert, a jeżeli okres prowadzenia działalności jest krótszy, w tym okresie należycie wykonali następujące usługi o charakterze i złożoności podobnej do przedmiotu niniejszego zamówienia: w zakresie odbierania i zagospodarowania odpadów komunalnych z nieruchomości zabudowanych budynkami jednorodzinnymi oraz od osób zamieszkałych w zabudowie wielorodzinnej w ilości nie mniejszej niż 1000 Mg w okresie co najmniej roku - nieprzerwanie (masa odebranych odpadów może być łączna z dwóch, trzech gmin) z podaniem ich wartości, dat wykonania i odbiorców, sporządzony zgodnie z załącznikiem nr 7 do SIWZ. Wykonawca potwierdzi należyte wykonanie wykazanych usług poprzez złożenie np. referencji, protokołów odbioru, kart przekazania odpadów, sprawozdań itp. 5) Oświadczenie dla bazy magazynowo –transportowej zgodnie z załącznikiem nr 8 do SIWZ. 6) Wykaz osób, które będą uczestniczyć w wykonywaniu zamówienia, (według wzoru – załącznik nr 10 do SIWZ).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SEKCJA IV: PROCEDURA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IV.1) OPIS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Przetarg nieograniczony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IV.1.2) Zamawiający żąda wniesienia wadium: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Tak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Informacja na temat wadium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1. Wykonawca przystępujący do postępowania jest zobowiązany wnieść wadium w wysokości 10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000,00 zł (słownie: dziesięć tysięcy złotych 00/100). 2. Wadium może być wniesione w jednej lub kilku formach wymienionych w art. 45 ust. 6 ustawy Pzp. 3. W przypadku wnoszenia wadium w pieniądzu, ustaloną kwotę należy wpłacić przelewem na rachunek bankowy zamawiającego: Bank Spółdzielczy w Jedwabnem Nr konta: 69 8752 0006 0000 1023 2000 0070, z dopiskiem „Wadium: „Odbiór i zagospodarowanie odpadów komunalnych od właścicieli nieruchomości zamieszkałych w Gminie Jedwabne - nr sprawy: BIOŚ.271.9.2019”. 4. Wadium musi być wniesione przed upływem terminu składania ofert. Za termin wniesienia wadium w formie pieniężnej przyjmuje się datę wpływu środków na rachunek zamawiającego. Wadium wnoszone w innych formach dopuszczonych przez zamawiającego winno być dołączone do oferty. Wadium musi obejmować okres związania z ofertą.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5. Wykonawca, który nie wniesie wadium, będzie przez zamawiającego wykluczony z postępowania o udzielenia zamówienia, a jego oferta zostanie odrzucona. 6. Wadium nie może zawierać żadnych warunków do spełnienia dla zamawiającego oprócz przewidzianych ustawą PZP. 7. Zwrot wadium nastąpi stosownie do postanowień art. 46 ust. 1- 4 ustawy Pzp. 8. Utrata wadium następuje w okolicznościach wskazanych w ustawie Prawo zamówień publicznych, w szczególności w art. 46 ust 4a i 5 Pzp.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na temat udzielania zaliczek: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Dopuszcza się złożenie oferty wariantowej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Liczba wykonawców  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Przewidywana minimalna liczba wykonawców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Kryteria selekcji wykonawców: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Umowa ramowa będzie zawarta: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Czy przewiduje się ograniczenie liczby ucze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stników umowy ramowej: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dynamicznego systemu zakupów: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mie katalogów elektronicznych: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/dynamicznego systemu zakupów: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IV.1.8) Aukcja elektroniczna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D546A8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Czas trwania: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knięcia aukcji elektronicznej: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IV.2) KRYTERIA OCENY OFERT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IV.2.1) Kryteria oceny ofert: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IV.2.2) Kryteria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934"/>
      </w:tblGrid>
      <w:tr w:rsidR="00D546A8" w:rsidRPr="00D546A8" w:rsidTr="00D5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Znaczenie</w:t>
            </w:r>
          </w:p>
        </w:tc>
      </w:tr>
      <w:tr w:rsidR="00D546A8" w:rsidRPr="00D546A8" w:rsidTr="00D5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60,00</w:t>
            </w:r>
          </w:p>
        </w:tc>
      </w:tr>
      <w:tr w:rsidR="00D546A8" w:rsidRPr="00D546A8" w:rsidTr="00D5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6A8" w:rsidRPr="00D546A8" w:rsidRDefault="00D546A8" w:rsidP="00D546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46A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40,00</w:t>
            </w:r>
          </w:p>
        </w:tc>
      </w:tr>
    </w:tbl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IV.2.3) Zastosowanie procedury, o której mowa w art. 24aa ust. 1 ustawy Pzp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(przetarg nieograniczony)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IV.3.1) Informacje na temat negocjacji z ogłoszeniem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szą spełniać wszystkie oferty: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IV.3.2) Informacje na temat dialogu konkurencyjnego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sposobie uzyskania tego opisu: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amawiający przewiduje nagrody: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Wstępn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y harmonogram postępowania: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Po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dział dialogu na etapy w celu ograniczenia liczby rozwiązań: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IV.3.3) Informacje na temat partnerstwa innowacyjnego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IV.4) Licytacja elektroniczna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>Czas trw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ania: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Data: godzina: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Termin otwarcia licytacji elektronicznej: </w:t>
      </w:r>
    </w:p>
    <w:p w:rsid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Termin i warunki zamknięcia licytacji elektronicznej: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Wymagania dotyczące zabezpieczenia należytego wykonania umowy: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IV.5) ZMIANA UMOWY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Tak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1. Strony dopuszczają zmianę postanowień niniejszej umowy zgodnie z wymogami art. 144 ustawy z dnia 29 stycznia 2004 r. Prawo zamówień publicznych (Dz.U. z 2019 r. poz. 1843), w przypadku wystąpienia okoliczności, których nie można było przewidzieć w chwili zawarcia umowy, a w szczególności: a) zmiany umowy w zakresie sposobu realizacji umowy w przypadku zmiany przepisów prawa, w tym zmiany przepisów prawa lokalnego, orzeczeń sądowych wpływających na sposób realizacji umowy, b) zmiany umowy 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 c)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d) zmian częstotliwości odbioru odpadów, rodzaju i liczby poszczególnych frakcji odbieranych odpadów (liczba odbieranych frakcji zgodnie z SIWZ to 14) oraz rodzaju i ilości dostarczanych worków na odpady, spowodowanych zmianą Regulaminu utrzymania czystości i porządku na terenie gminy Jedwabne lub zmianą uchwały w sprawie określenia szczegółowego sposobu i zakresu świadczenia usług, w zakresie odbierania odpadów komunalnych od właścicieli nieruchomości i zagospodarowania tych odpadów, w zamian za uiszczoną przez właściciela nieruchomości opłatę za gospodarowanie odpadami komunalnymi, zmianą przepisów regulujących gospodarowanie odpadami komunalnymi, zmianą stanu prawnego, zmianą przepisów prawa, norm i standardów, e) zmian instalacji wskazanych § 5 ust. 3, do których Wykonawca przekazuje odbierane odpady komunalne, f) wprowadzenie do realizacji usługi podwykonawcę, zmiany podwykonawcy, rezygnacji z podwykonawcy lub zmiany warunków umowy z podwykonawcą, g) w związku ze zmianami w zakresie zmiany instalacji komunalnej, o której mowa w § 5 ust. 3 tabela nr 2 dopuszczalne jest zmniejszenie lub zwiększenie wynagrodzenia, o którym mowa w § 3 ust. 1, h) zmiana instalacji komunalnej, o której mowa w § 5 ust. 3 tabela nr 2, powodująca wzrost ceny za przyjęcie niesegregowanych (zmieszanych) odpadów komunalnych o kodzie 20 03 01, może nastąpić w przypadku wystąpienia zmiany przepisów prawa, w tym zmiany przepisów prawa lokalnego, orzeczeń sądowych lub innych okoliczności (w tym opinii prawnych), których nie można było przewidzieć w chwili zawarcia umowy a także w wyniku zaleceń Zamawiającego co do miejsca zagospodarowania niesegregowanych (zmieszanych) odpadów komunalnych o kodzie 20 03 01. 2. Strony dopuszczają zmianę postanowień niniejszej umowy dotyczącej zmiany stawki za odbiór i zagospodarowanie 1Mg, o której mowa w tabeli nr 1 pozycja 1 (tj. stawki za odbiór i zagospodarowanie 1 Mg niesegregowanych (zmieszanych) odpadów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komunalnych o kodzie 200301), w przypadku: a) zmiany ceny za przyjęcie niesegregowanych (zmieszanych) odpadów komunalnych o kodzie 20 03 01 w Instalacjach Komunalnych, b) zmiany Instalacji Komunalnych, do których Wykonawca przekazuje niesegregowane (zmieszane) odpady komunalne o kodzie 20 03 01, powodującej zmianę ceny, o której mowa w lit. a, - jeżeli zmiany te będą miały wpływ na koszty wykonania zamówienia przez Wykonawcę, c) uzasadniony wniosek o zmianę wynagrodzenia wraz dokumentacją potwierdzającą zmianę ceny przyjęcia niesegregowanych (zmieszanych) odpadów komunalnych o kodzie 20 03 01 przez Instalację Komunalną (tj. m.in. umowy zawarte po miedzy Wykonawcą a zarządcami Instalacji Komunalnych) zgłaszany jest w ciągu 30 dni od zaistnienia okoliczności wymienionych w lit. a - b, d) uzasadnienie, o którym mowa w lit. c winno zawierać szczegółowe wyliczenie wpływu zmian opisanych w lit. a - b na koszty wykonania zamówienia przez Wykonawcę. W wyliczeniach należy uwzględnić koszty, o których mowa w SIWZ e) wyliczenie o którym mowa w lit. d, powinno uwzględniać odległości między Instalacjami Komunalnymi a miejscowościami na terenie gminy Jedwabne objętymi SIWZ. f) zmiana wynagrodzenia wymaga akceptacji stron i obowiązuje od miesiąca, w którym zaistniały okoliczności wymienione w lit. a – b. 3. Wszelkie zmiany i uzupełnienia treści niniejszej umowy mogą być dokonane za zgodą umawiających się stron, wyrażoną na piśmie w formie aneksu, pod rygorem nieważności.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IV.6) INFORMACJE ADMINISTRACYJNE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D546A8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(jeżeli dotyczy):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Data: 2019-12-03, godzina: 10:00,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Wskazać powody: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&gt; polski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do: okres w dniach: 30 (od ostatecznego terminu składania ofert)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546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IV.6.6) Informacje dodatkowe: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546A8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D546A8" w:rsidRPr="00D546A8" w:rsidRDefault="00D546A8" w:rsidP="00D546A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546A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ZAŁĄCZNIK I - INFORMACJE DOTYCZĄCE OFERT CZĘŚCIOWYCH </w:t>
      </w: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46A8" w:rsidRPr="00D546A8" w:rsidRDefault="00D546A8" w:rsidP="00D546A8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46A8" w:rsidRPr="003952A8" w:rsidRDefault="00D546A8" w:rsidP="00D546A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546A8" w:rsidRPr="003952A8" w:rsidRDefault="00D546A8" w:rsidP="00D546A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52A8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Pr="003952A8">
        <w:rPr>
          <w:rFonts w:ascii="Times New Roman" w:eastAsia="Times New Roman" w:hAnsi="Times New Roman" w:cs="Times New Roman"/>
          <w:bCs/>
          <w:lang w:eastAsia="pl-PL"/>
        </w:rPr>
        <w:t xml:space="preserve">  Burmistrz Jedwabnego</w:t>
      </w:r>
    </w:p>
    <w:p w:rsidR="00D546A8" w:rsidRPr="003952A8" w:rsidRDefault="00D546A8" w:rsidP="00D546A8">
      <w:pPr>
        <w:spacing w:after="0" w:line="240" w:lineRule="auto"/>
        <w:rPr>
          <w:rFonts w:ascii="Times New Roman" w:eastAsia="Times New Roman" w:hAnsi="Times New Roman" w:cs="Times New Roman"/>
          <w:i/>
          <w:vanish/>
          <w:lang w:eastAsia="pl-PL"/>
        </w:rPr>
      </w:pPr>
      <w:r w:rsidRPr="003952A8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</w:t>
      </w:r>
      <w:r w:rsidRPr="003952A8">
        <w:rPr>
          <w:rFonts w:ascii="Times New Roman" w:eastAsia="Times New Roman" w:hAnsi="Times New Roman" w:cs="Times New Roman"/>
          <w:bCs/>
          <w:i/>
          <w:lang w:eastAsia="pl-PL"/>
        </w:rPr>
        <w:t>Adam Mariusz Niebrzydowski</w:t>
      </w:r>
    </w:p>
    <w:p w:rsidR="00D546A8" w:rsidRPr="003952A8" w:rsidRDefault="00D546A8" w:rsidP="00D546A8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3952A8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:rsidR="00D546A8" w:rsidRPr="003952A8" w:rsidRDefault="00D546A8" w:rsidP="00D546A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3952A8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:rsidR="00D546A8" w:rsidRPr="003952A8" w:rsidRDefault="00D546A8" w:rsidP="00D546A8">
      <w:pPr>
        <w:rPr>
          <w:rFonts w:ascii="Times New Roman" w:hAnsi="Times New Roman" w:cs="Times New Roman"/>
        </w:rPr>
      </w:pPr>
    </w:p>
    <w:p w:rsidR="00D546A8" w:rsidRPr="00D546A8" w:rsidRDefault="00D546A8" w:rsidP="00D546A8">
      <w:pPr>
        <w:pBdr>
          <w:top w:val="single" w:sz="6" w:space="1" w:color="auto"/>
        </w:pBdr>
        <w:spacing w:after="0" w:line="0" w:lineRule="atLeast"/>
        <w:rPr>
          <w:rFonts w:ascii="Times New Roman" w:eastAsia="Times New Roman" w:hAnsi="Times New Roman" w:cs="Times New Roman"/>
          <w:vanish/>
          <w:szCs w:val="24"/>
          <w:lang w:eastAsia="pl-PL"/>
        </w:rPr>
      </w:pPr>
      <w:bookmarkStart w:id="0" w:name="_GoBack"/>
      <w:bookmarkEnd w:id="0"/>
      <w:r w:rsidRPr="00D546A8">
        <w:rPr>
          <w:rFonts w:ascii="Times New Roman" w:eastAsia="Times New Roman" w:hAnsi="Times New Roman" w:cs="Times New Roman"/>
          <w:vanish/>
          <w:szCs w:val="24"/>
          <w:lang w:eastAsia="pl-PL"/>
        </w:rPr>
        <w:t>Dół formularza</w:t>
      </w:r>
    </w:p>
    <w:p w:rsidR="005B0E89" w:rsidRPr="00D546A8" w:rsidRDefault="005B0E89" w:rsidP="00D546A8">
      <w:pPr>
        <w:spacing w:after="0" w:line="0" w:lineRule="atLeast"/>
        <w:rPr>
          <w:rFonts w:ascii="Times New Roman" w:hAnsi="Times New Roman" w:cs="Times New Roman"/>
          <w:szCs w:val="24"/>
        </w:rPr>
      </w:pPr>
    </w:p>
    <w:sectPr w:rsidR="005B0E89" w:rsidRPr="00D5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8"/>
    <w:rsid w:val="005B0E89"/>
    <w:rsid w:val="00D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546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546A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546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546A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546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546A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546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546A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5049</Words>
  <Characters>30298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2019-11-21T10:10:00Z</cp:lastPrinted>
  <dcterms:created xsi:type="dcterms:W3CDTF">2019-11-21T10:04:00Z</dcterms:created>
  <dcterms:modified xsi:type="dcterms:W3CDTF">2019-11-21T10:11:00Z</dcterms:modified>
</cp:coreProperties>
</file>